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7829" w14:textId="1D5DC2F7" w:rsidR="000B6168" w:rsidRPr="00B319F6" w:rsidRDefault="0018520C" w:rsidP="00AB0A61">
      <w:pPr>
        <w:jc w:val="center"/>
        <w:rPr>
          <w:rFonts w:ascii="Abadi" w:hAnsi="Abadi"/>
          <w:b/>
          <w:bCs/>
          <w:sz w:val="26"/>
          <w:szCs w:val="26"/>
          <w:u w:val="single"/>
        </w:rPr>
      </w:pPr>
      <w:r w:rsidRPr="00B319F6">
        <w:rPr>
          <w:rFonts w:ascii="Abadi" w:hAnsi="Abadi"/>
          <w:b/>
          <w:bCs/>
          <w:sz w:val="26"/>
          <w:szCs w:val="26"/>
          <w:u w:val="single"/>
        </w:rPr>
        <w:t>NOTIFICAÇÃO EXTRAJUDICIAL</w:t>
      </w:r>
    </w:p>
    <w:p w14:paraId="61B854D7" w14:textId="77777777" w:rsidR="0018520C" w:rsidRPr="00B319F6" w:rsidRDefault="0018520C">
      <w:pPr>
        <w:rPr>
          <w:rFonts w:ascii="Abadi" w:hAnsi="Abadi"/>
          <w:sz w:val="26"/>
          <w:szCs w:val="26"/>
        </w:rPr>
      </w:pPr>
    </w:p>
    <w:p w14:paraId="573C8C02" w14:textId="4F93F505" w:rsidR="00224D31" w:rsidRPr="00B319F6" w:rsidRDefault="00224D31" w:rsidP="007A741D">
      <w:pPr>
        <w:jc w:val="both"/>
        <w:rPr>
          <w:rFonts w:ascii="Abadi" w:hAnsi="Abadi"/>
          <w:sz w:val="26"/>
          <w:szCs w:val="26"/>
        </w:rPr>
      </w:pPr>
      <w:r w:rsidRPr="00B319F6">
        <w:rPr>
          <w:rFonts w:ascii="Abadi" w:hAnsi="Abadi"/>
          <w:sz w:val="26"/>
          <w:szCs w:val="26"/>
        </w:rPr>
        <w:t xml:space="preserve">NOTIFICANTE: </w:t>
      </w:r>
    </w:p>
    <w:p w14:paraId="0C449A61" w14:textId="77777777" w:rsidR="00224D31" w:rsidRPr="00B319F6" w:rsidRDefault="00224D31" w:rsidP="007A741D">
      <w:pPr>
        <w:jc w:val="both"/>
        <w:rPr>
          <w:rFonts w:ascii="Abadi" w:hAnsi="Abadi"/>
          <w:sz w:val="26"/>
          <w:szCs w:val="26"/>
        </w:rPr>
      </w:pPr>
    </w:p>
    <w:p w14:paraId="4597EEFF" w14:textId="48D41C0A" w:rsidR="00224D31" w:rsidRPr="00B319F6" w:rsidRDefault="00224D31" w:rsidP="007A741D">
      <w:pPr>
        <w:jc w:val="both"/>
        <w:rPr>
          <w:rFonts w:ascii="Abadi" w:hAnsi="Abadi"/>
          <w:b/>
          <w:bCs/>
          <w:sz w:val="26"/>
          <w:szCs w:val="26"/>
        </w:rPr>
      </w:pPr>
      <w:r w:rsidRPr="00B319F6">
        <w:rPr>
          <w:rFonts w:ascii="Abadi" w:hAnsi="Abadi"/>
          <w:b/>
          <w:bCs/>
          <w:sz w:val="26"/>
          <w:szCs w:val="26"/>
        </w:rPr>
        <w:t>SINDICATO DAS EMPRESAS DE ASSEIO E CONSERVAÇÃO DO ESTADO DE MINAS GERAIS – SEAC/MG</w:t>
      </w:r>
    </w:p>
    <w:p w14:paraId="30F2ED37" w14:textId="77777777" w:rsidR="008416E3" w:rsidRPr="00B319F6" w:rsidRDefault="008416E3" w:rsidP="007A741D">
      <w:pPr>
        <w:jc w:val="both"/>
        <w:rPr>
          <w:rFonts w:ascii="Abadi" w:hAnsi="Abadi"/>
          <w:b/>
          <w:bCs/>
          <w:sz w:val="26"/>
          <w:szCs w:val="26"/>
        </w:rPr>
      </w:pPr>
    </w:p>
    <w:p w14:paraId="5B187403" w14:textId="1A00B021" w:rsidR="008416E3" w:rsidRDefault="001E486B" w:rsidP="007A741D">
      <w:pPr>
        <w:jc w:val="both"/>
        <w:rPr>
          <w:rFonts w:ascii="Abadi" w:hAnsi="Abadi"/>
          <w:sz w:val="26"/>
          <w:szCs w:val="26"/>
        </w:rPr>
      </w:pPr>
      <w:r w:rsidRPr="00B319F6">
        <w:rPr>
          <w:rFonts w:ascii="Abadi" w:hAnsi="Abadi"/>
          <w:sz w:val="26"/>
          <w:szCs w:val="26"/>
        </w:rPr>
        <w:t>NOTIFICADO:</w:t>
      </w:r>
    </w:p>
    <w:p w14:paraId="1613A724" w14:textId="3D29FD5E" w:rsidR="0038322F" w:rsidRDefault="006B2976" w:rsidP="00224D31">
      <w:pPr>
        <w:rPr>
          <w:rFonts w:ascii="Abadi" w:hAnsi="Abadi"/>
          <w:b/>
          <w:bCs/>
          <w:sz w:val="26"/>
          <w:szCs w:val="26"/>
        </w:rPr>
      </w:pPr>
      <w:r>
        <w:rPr>
          <w:rFonts w:ascii="Abadi" w:hAnsi="Abadi"/>
          <w:b/>
          <w:bCs/>
          <w:sz w:val="26"/>
          <w:szCs w:val="26"/>
        </w:rPr>
        <w:t xml:space="preserve">CÂMARA MUNICIPAL DE </w:t>
      </w:r>
      <w:r w:rsidR="00F81992">
        <w:rPr>
          <w:rFonts w:ascii="Abadi" w:hAnsi="Abadi"/>
          <w:b/>
          <w:bCs/>
          <w:sz w:val="26"/>
          <w:szCs w:val="26"/>
        </w:rPr>
        <w:t>ARAGUARI</w:t>
      </w:r>
    </w:p>
    <w:p w14:paraId="113A4D8C" w14:textId="77777777" w:rsidR="0038322F" w:rsidRPr="0038322F" w:rsidRDefault="0038322F" w:rsidP="0038322F">
      <w:pPr>
        <w:jc w:val="center"/>
        <w:rPr>
          <w:rFonts w:ascii="Abadi" w:hAnsi="Abadi"/>
          <w:b/>
          <w:bCs/>
          <w:sz w:val="26"/>
          <w:szCs w:val="26"/>
          <w:u w:val="single"/>
        </w:rPr>
      </w:pPr>
    </w:p>
    <w:p w14:paraId="793F91A1" w14:textId="77777777" w:rsidR="0038322F" w:rsidRPr="0038322F" w:rsidRDefault="0038322F" w:rsidP="0038322F">
      <w:pPr>
        <w:jc w:val="center"/>
        <w:rPr>
          <w:rFonts w:ascii="Abadi" w:hAnsi="Abadi"/>
          <w:b/>
          <w:bCs/>
          <w:sz w:val="26"/>
          <w:szCs w:val="26"/>
          <w:u w:val="single"/>
        </w:rPr>
      </w:pPr>
    </w:p>
    <w:p w14:paraId="286A8891" w14:textId="181821D8" w:rsidR="001B4AE7" w:rsidRDefault="0038322F" w:rsidP="006B2976">
      <w:pPr>
        <w:jc w:val="center"/>
        <w:rPr>
          <w:rFonts w:ascii="Abadi" w:hAnsi="Abadi"/>
          <w:b/>
          <w:bCs/>
          <w:sz w:val="26"/>
          <w:szCs w:val="26"/>
          <w:u w:val="single"/>
        </w:rPr>
      </w:pPr>
      <w:r w:rsidRPr="0038322F">
        <w:rPr>
          <w:rFonts w:ascii="Abadi" w:hAnsi="Abadi"/>
          <w:b/>
          <w:bCs/>
          <w:sz w:val="26"/>
          <w:szCs w:val="26"/>
          <w:u w:val="single"/>
        </w:rPr>
        <w:t xml:space="preserve">REF: </w:t>
      </w:r>
      <w:r w:rsidR="00F81992" w:rsidRPr="00F81992">
        <w:rPr>
          <w:rFonts w:ascii="Abadi" w:hAnsi="Abadi"/>
          <w:b/>
          <w:bCs/>
          <w:sz w:val="26"/>
          <w:szCs w:val="26"/>
          <w:u w:val="single"/>
        </w:rPr>
        <w:t>PREGÃO Nº001/2026</w:t>
      </w:r>
    </w:p>
    <w:p w14:paraId="0553A34F" w14:textId="77777777" w:rsidR="006B2976" w:rsidRDefault="006B2976" w:rsidP="006B2976">
      <w:pPr>
        <w:jc w:val="center"/>
        <w:rPr>
          <w:rFonts w:ascii="Abadi" w:hAnsi="Abadi"/>
          <w:sz w:val="26"/>
          <w:szCs w:val="26"/>
        </w:rPr>
      </w:pPr>
    </w:p>
    <w:p w14:paraId="7CA4209E" w14:textId="1B1CC693" w:rsidR="0018520C" w:rsidRPr="000F6792" w:rsidRDefault="0018520C" w:rsidP="00AB0A61">
      <w:pPr>
        <w:spacing w:line="360" w:lineRule="auto"/>
        <w:jc w:val="both"/>
        <w:rPr>
          <w:rFonts w:ascii="Abadi" w:hAnsi="Abadi"/>
          <w:sz w:val="26"/>
          <w:szCs w:val="26"/>
        </w:rPr>
      </w:pPr>
      <w:r w:rsidRPr="000F6792">
        <w:rPr>
          <w:rFonts w:ascii="Abadi" w:hAnsi="Abadi"/>
          <w:sz w:val="26"/>
          <w:szCs w:val="26"/>
        </w:rPr>
        <w:t>Considerando a decisão proferida pelo i. Supremo Tribunal Federal nos autos do RE 1.298.647 (Tema 1.118) que cuidou da prova da fiscalização, pelo poder público, do cumprimento de obrigações trabalhistas por empresas terceirizadas;</w:t>
      </w:r>
    </w:p>
    <w:p w14:paraId="16A25738" w14:textId="269A4E26" w:rsidR="0018520C" w:rsidRPr="000F6792" w:rsidRDefault="0018520C" w:rsidP="00AB0A61">
      <w:pPr>
        <w:spacing w:line="360" w:lineRule="auto"/>
        <w:jc w:val="both"/>
        <w:rPr>
          <w:rFonts w:ascii="Abadi" w:hAnsi="Abadi"/>
          <w:sz w:val="26"/>
          <w:szCs w:val="26"/>
        </w:rPr>
      </w:pPr>
      <w:r w:rsidRPr="000F6792">
        <w:rPr>
          <w:rFonts w:ascii="Abadi" w:hAnsi="Abadi"/>
          <w:sz w:val="26"/>
          <w:szCs w:val="26"/>
        </w:rPr>
        <w:t>Considerando o alcance da responsabilidade imputada a trabalhadores</w:t>
      </w:r>
      <w:r w:rsidR="00AB0A61" w:rsidRPr="000F6792">
        <w:rPr>
          <w:rFonts w:ascii="Abadi" w:hAnsi="Abadi"/>
          <w:sz w:val="26"/>
          <w:szCs w:val="26"/>
        </w:rPr>
        <w:t xml:space="preserve">, </w:t>
      </w:r>
      <w:r w:rsidRPr="000F6792">
        <w:rPr>
          <w:rFonts w:ascii="Abadi" w:hAnsi="Abadi"/>
          <w:sz w:val="26"/>
          <w:szCs w:val="26"/>
        </w:rPr>
        <w:t>sindicatos</w:t>
      </w:r>
      <w:r w:rsidR="00AB0A61" w:rsidRPr="000F6792">
        <w:rPr>
          <w:rFonts w:ascii="Abadi" w:hAnsi="Abadi"/>
          <w:sz w:val="26"/>
          <w:szCs w:val="26"/>
        </w:rPr>
        <w:t>, Ministério do Trabalho, Ministério Público</w:t>
      </w:r>
      <w:r w:rsidR="00C32525" w:rsidRPr="000F6792">
        <w:rPr>
          <w:rFonts w:ascii="Abadi" w:hAnsi="Abadi"/>
          <w:sz w:val="26"/>
          <w:szCs w:val="26"/>
        </w:rPr>
        <w:t xml:space="preserve"> e</w:t>
      </w:r>
      <w:r w:rsidR="00AB0A61" w:rsidRPr="000F6792">
        <w:rPr>
          <w:rFonts w:ascii="Abadi" w:hAnsi="Abadi"/>
          <w:sz w:val="26"/>
          <w:szCs w:val="26"/>
        </w:rPr>
        <w:t xml:space="preserve"> Defensoria Pública </w:t>
      </w:r>
      <w:r w:rsidRPr="000F6792">
        <w:rPr>
          <w:rFonts w:ascii="Abadi" w:hAnsi="Abadi"/>
          <w:sz w:val="26"/>
          <w:szCs w:val="26"/>
        </w:rPr>
        <w:t>em notificar à administração contratante eventuais descumprimentos de obrigações trabalhistas por parte das empresas prestadoras de serviços</w:t>
      </w:r>
      <w:r w:rsidR="00AB0A61" w:rsidRPr="000F6792">
        <w:rPr>
          <w:rFonts w:ascii="Abadi" w:hAnsi="Abadi"/>
          <w:sz w:val="26"/>
          <w:szCs w:val="26"/>
        </w:rPr>
        <w:t>;</w:t>
      </w:r>
    </w:p>
    <w:p w14:paraId="0C04DE55" w14:textId="464D381D" w:rsidR="00AB0A61" w:rsidRPr="000F6792" w:rsidRDefault="00AB0A61" w:rsidP="00AB0A61">
      <w:pPr>
        <w:spacing w:line="360" w:lineRule="auto"/>
        <w:jc w:val="both"/>
        <w:rPr>
          <w:rFonts w:ascii="Abadi" w:hAnsi="Abadi"/>
          <w:sz w:val="26"/>
          <w:szCs w:val="26"/>
        </w:rPr>
      </w:pPr>
      <w:r w:rsidRPr="000F6792">
        <w:rPr>
          <w:rFonts w:ascii="Abadi" w:hAnsi="Abadi"/>
          <w:sz w:val="26"/>
          <w:szCs w:val="26"/>
        </w:rPr>
        <w:t>Considerando que, segundo a mesma decisão, constitui responsabilidade da Administração Pública garantir as condições de segurança, higiene e salubridade dos trabalhadores, quando o trabalho for realizado em suas dependências ou local previamente convencionado em contrato, nos termos do art. 5º-A, § 3º, da Lei nº 6.019/1974;</w:t>
      </w:r>
    </w:p>
    <w:p w14:paraId="62C1957C" w14:textId="77777777" w:rsidR="00A64CDD" w:rsidRDefault="006C47DC" w:rsidP="00AB0A61">
      <w:pPr>
        <w:spacing w:line="360" w:lineRule="auto"/>
        <w:jc w:val="both"/>
        <w:rPr>
          <w:rFonts w:ascii="Abadi" w:hAnsi="Abadi"/>
          <w:sz w:val="26"/>
          <w:szCs w:val="26"/>
        </w:rPr>
      </w:pPr>
      <w:r w:rsidRPr="000F6792">
        <w:rPr>
          <w:rFonts w:ascii="Abadi" w:hAnsi="Abadi"/>
          <w:sz w:val="26"/>
          <w:szCs w:val="26"/>
        </w:rPr>
        <w:t>Considerando, por fim, que</w:t>
      </w:r>
      <w:r w:rsidR="00D236AE" w:rsidRPr="000F6792">
        <w:rPr>
          <w:rFonts w:ascii="Abadi" w:hAnsi="Abadi"/>
          <w:sz w:val="26"/>
          <w:szCs w:val="26"/>
        </w:rPr>
        <w:t>, a teor do que dispõe</w:t>
      </w:r>
      <w:r w:rsidR="004E55A5" w:rsidRPr="000F6792">
        <w:rPr>
          <w:rFonts w:ascii="Abadi" w:hAnsi="Abadi"/>
          <w:sz w:val="26"/>
          <w:szCs w:val="26"/>
        </w:rPr>
        <w:t xml:space="preserve">, ainda, </w:t>
      </w:r>
      <w:r w:rsidR="00CC4D84" w:rsidRPr="000F6792">
        <w:rPr>
          <w:rFonts w:ascii="Abadi" w:hAnsi="Abadi"/>
          <w:sz w:val="26"/>
          <w:szCs w:val="26"/>
        </w:rPr>
        <w:t>a Tese fixada no aludido julgamento</w:t>
      </w:r>
      <w:r w:rsidR="004E55A5" w:rsidRPr="000F6792">
        <w:rPr>
          <w:rFonts w:ascii="Abadi" w:hAnsi="Abadi"/>
          <w:sz w:val="26"/>
          <w:szCs w:val="26"/>
        </w:rPr>
        <w:t xml:space="preserve">, nos contratos de terceirização, a Administração Pública deverá: </w:t>
      </w:r>
    </w:p>
    <w:p w14:paraId="0F573134" w14:textId="77777777" w:rsidR="00A64CDD" w:rsidRDefault="00A64CDD" w:rsidP="00AB0A61">
      <w:pPr>
        <w:spacing w:line="360" w:lineRule="auto"/>
        <w:jc w:val="both"/>
        <w:rPr>
          <w:rFonts w:ascii="Abadi" w:hAnsi="Abadi"/>
          <w:b/>
          <w:bCs/>
          <w:i/>
          <w:iCs/>
          <w:sz w:val="26"/>
          <w:szCs w:val="26"/>
        </w:rPr>
      </w:pPr>
      <w:r>
        <w:rPr>
          <w:rFonts w:ascii="Abadi" w:hAnsi="Abadi"/>
          <w:sz w:val="26"/>
          <w:szCs w:val="26"/>
        </w:rPr>
        <w:lastRenderedPageBreak/>
        <w:t>“</w:t>
      </w:r>
      <w:r w:rsidR="004E55A5" w:rsidRPr="00A64CDD">
        <w:rPr>
          <w:rFonts w:ascii="Abadi" w:hAnsi="Abadi"/>
          <w:b/>
          <w:bCs/>
          <w:i/>
          <w:iCs/>
          <w:sz w:val="26"/>
          <w:szCs w:val="26"/>
        </w:rPr>
        <w:t xml:space="preserve">(i) exigir da contratada a comprovação de capital social integralizado compatível com o número de empregados, na forma do art. 4º-B da Lei nº 6.019/1974; e </w:t>
      </w:r>
    </w:p>
    <w:p w14:paraId="5C99573C" w14:textId="41720D00" w:rsidR="00B16382" w:rsidRPr="00A64CDD" w:rsidRDefault="004E55A5" w:rsidP="00AB0A61">
      <w:pPr>
        <w:spacing w:line="360" w:lineRule="auto"/>
        <w:jc w:val="both"/>
        <w:rPr>
          <w:rFonts w:ascii="Abadi" w:hAnsi="Abadi"/>
          <w:b/>
          <w:bCs/>
          <w:i/>
          <w:iCs/>
          <w:sz w:val="26"/>
          <w:szCs w:val="26"/>
        </w:rPr>
      </w:pPr>
      <w:r w:rsidRPr="00A64CDD">
        <w:rPr>
          <w:rFonts w:ascii="Abadi" w:hAnsi="Abadi"/>
          <w:b/>
          <w:bCs/>
          <w:i/>
          <w:iCs/>
          <w:sz w:val="26"/>
          <w:szCs w:val="26"/>
        </w:rPr>
        <w:t>(</w:t>
      </w:r>
      <w:proofErr w:type="spellStart"/>
      <w:r w:rsidRPr="00A64CDD">
        <w:rPr>
          <w:rFonts w:ascii="Abadi" w:hAnsi="Abadi"/>
          <w:b/>
          <w:bCs/>
          <w:i/>
          <w:iCs/>
          <w:sz w:val="26"/>
          <w:szCs w:val="26"/>
        </w:rPr>
        <w:t>ii</w:t>
      </w:r>
      <w:proofErr w:type="spellEnd"/>
      <w:r w:rsidRPr="00A64CDD">
        <w:rPr>
          <w:rFonts w:ascii="Abadi" w:hAnsi="Abadi"/>
          <w:b/>
          <w:bCs/>
          <w:i/>
          <w:iCs/>
          <w:sz w:val="26"/>
          <w:szCs w:val="26"/>
        </w:rPr>
        <w:t>) adotar medidas para assegurar o cumprimento das obrigações trabalhistas pela contratada, na forma do art. 121, § 3º, da Lei nº 14.133/2021, tais como condicionar o pagamento à comprovação de quitação das obrigações trabalhistas do mês anterior</w:t>
      </w:r>
      <w:r w:rsidR="00065E42" w:rsidRPr="00A64CDD">
        <w:rPr>
          <w:rFonts w:ascii="Abadi" w:hAnsi="Abadi"/>
          <w:b/>
          <w:bCs/>
          <w:i/>
          <w:iCs/>
          <w:sz w:val="26"/>
          <w:szCs w:val="26"/>
        </w:rPr>
        <w:t>;</w:t>
      </w:r>
      <w:r w:rsidR="00A64CDD">
        <w:rPr>
          <w:rFonts w:ascii="Abadi" w:hAnsi="Abadi"/>
          <w:b/>
          <w:bCs/>
          <w:i/>
          <w:iCs/>
          <w:sz w:val="26"/>
          <w:szCs w:val="26"/>
        </w:rPr>
        <w:t>”</w:t>
      </w:r>
    </w:p>
    <w:p w14:paraId="799E8A18" w14:textId="4C5C8B60" w:rsidR="004F0E24" w:rsidRPr="000F6792" w:rsidRDefault="00670782" w:rsidP="00AB0A61">
      <w:pPr>
        <w:spacing w:line="360" w:lineRule="auto"/>
        <w:jc w:val="both"/>
        <w:rPr>
          <w:rFonts w:ascii="Abadi" w:hAnsi="Abadi"/>
          <w:sz w:val="26"/>
          <w:szCs w:val="26"/>
        </w:rPr>
      </w:pPr>
      <w:r w:rsidRPr="000F6792">
        <w:rPr>
          <w:rFonts w:ascii="Abadi" w:hAnsi="Abadi"/>
          <w:sz w:val="26"/>
          <w:szCs w:val="26"/>
        </w:rPr>
        <w:t xml:space="preserve">A entidade signatária, </w:t>
      </w:r>
      <w:r w:rsidR="00CB43EE" w:rsidRPr="000F6792">
        <w:rPr>
          <w:rFonts w:ascii="Abadi" w:hAnsi="Abadi"/>
          <w:sz w:val="26"/>
          <w:szCs w:val="26"/>
        </w:rPr>
        <w:t>representante da categoria econômica</w:t>
      </w:r>
      <w:r w:rsidR="00B6722E">
        <w:rPr>
          <w:rFonts w:ascii="Abadi" w:hAnsi="Abadi"/>
          <w:sz w:val="26"/>
          <w:szCs w:val="26"/>
        </w:rPr>
        <w:t xml:space="preserve"> e profissiona</w:t>
      </w:r>
      <w:r w:rsidR="00D836E5">
        <w:rPr>
          <w:rFonts w:ascii="Abadi" w:hAnsi="Abadi"/>
          <w:sz w:val="26"/>
          <w:szCs w:val="26"/>
        </w:rPr>
        <w:t>l</w:t>
      </w:r>
      <w:r w:rsidR="00B6722E">
        <w:rPr>
          <w:rFonts w:ascii="Abadi" w:hAnsi="Abadi"/>
          <w:sz w:val="26"/>
          <w:szCs w:val="26"/>
        </w:rPr>
        <w:t xml:space="preserve"> afeta ao objeto da licitação em curso </w:t>
      </w:r>
      <w:r w:rsidR="00211B10">
        <w:rPr>
          <w:rFonts w:ascii="Abadi" w:hAnsi="Abadi"/>
          <w:sz w:val="26"/>
          <w:szCs w:val="26"/>
        </w:rPr>
        <w:t>nest</w:t>
      </w:r>
      <w:r w:rsidR="006B2976">
        <w:rPr>
          <w:rFonts w:ascii="Abadi" w:hAnsi="Abadi"/>
          <w:sz w:val="26"/>
          <w:szCs w:val="26"/>
        </w:rPr>
        <w:t>a</w:t>
      </w:r>
      <w:r w:rsidR="000776E7">
        <w:rPr>
          <w:rFonts w:ascii="Abadi" w:hAnsi="Abadi"/>
          <w:sz w:val="26"/>
          <w:szCs w:val="26"/>
        </w:rPr>
        <w:t xml:space="preserve"> </w:t>
      </w:r>
      <w:r w:rsidR="006B2976">
        <w:rPr>
          <w:rFonts w:ascii="Abadi" w:hAnsi="Abadi"/>
          <w:sz w:val="26"/>
          <w:szCs w:val="26"/>
        </w:rPr>
        <w:t>CÂMARA MUNICIPAL</w:t>
      </w:r>
      <w:r w:rsidR="00FB6FA9" w:rsidRPr="000F6792">
        <w:rPr>
          <w:rFonts w:ascii="Abadi" w:hAnsi="Abadi"/>
          <w:sz w:val="26"/>
          <w:szCs w:val="26"/>
        </w:rPr>
        <w:t>, a partir d</w:t>
      </w:r>
      <w:r w:rsidR="00135826" w:rsidRPr="000F6792">
        <w:rPr>
          <w:rFonts w:ascii="Abadi" w:hAnsi="Abadi"/>
          <w:sz w:val="26"/>
          <w:szCs w:val="26"/>
        </w:rPr>
        <w:t>as garantias que lhe fo</w:t>
      </w:r>
      <w:r w:rsidR="00A93C02">
        <w:rPr>
          <w:rFonts w:ascii="Abadi" w:hAnsi="Abadi"/>
          <w:sz w:val="26"/>
          <w:szCs w:val="26"/>
        </w:rPr>
        <w:t>ram</w:t>
      </w:r>
      <w:r w:rsidR="00135826" w:rsidRPr="000F6792">
        <w:rPr>
          <w:rFonts w:ascii="Abadi" w:hAnsi="Abadi"/>
          <w:sz w:val="26"/>
          <w:szCs w:val="26"/>
        </w:rPr>
        <w:t xml:space="preserve"> asseguradas a partir da aludida decisão, não pode </w:t>
      </w:r>
      <w:r w:rsidR="00454FE3" w:rsidRPr="000F6792">
        <w:rPr>
          <w:rFonts w:ascii="Abadi" w:hAnsi="Abadi"/>
          <w:sz w:val="26"/>
          <w:szCs w:val="26"/>
        </w:rPr>
        <w:t>faltar ao dever de consignar que ir</w:t>
      </w:r>
      <w:r w:rsidR="00A93C02">
        <w:rPr>
          <w:rFonts w:ascii="Abadi" w:hAnsi="Abadi"/>
          <w:sz w:val="26"/>
          <w:szCs w:val="26"/>
        </w:rPr>
        <w:t>á</w:t>
      </w:r>
      <w:r w:rsidR="00454FE3" w:rsidRPr="000F6792">
        <w:rPr>
          <w:rFonts w:ascii="Abadi" w:hAnsi="Abadi"/>
          <w:sz w:val="26"/>
          <w:szCs w:val="26"/>
        </w:rPr>
        <w:t xml:space="preserve"> adotar todas as medidas que estiverem ao seu alcance para </w:t>
      </w:r>
      <w:r w:rsidR="007F7BA1" w:rsidRPr="000F6792">
        <w:rPr>
          <w:rFonts w:ascii="Abadi" w:hAnsi="Abadi"/>
          <w:sz w:val="26"/>
          <w:szCs w:val="26"/>
        </w:rPr>
        <w:t>garantir o estrito cumprimento das obrigações trabalhistas</w:t>
      </w:r>
      <w:r w:rsidR="003B4799" w:rsidRPr="000F6792">
        <w:rPr>
          <w:rFonts w:ascii="Abadi" w:hAnsi="Abadi"/>
          <w:sz w:val="26"/>
          <w:szCs w:val="26"/>
        </w:rPr>
        <w:t xml:space="preserve"> resultantes dos contratos firmados entre este órgão e as empresas do segmento ora representado.</w:t>
      </w:r>
    </w:p>
    <w:p w14:paraId="5323F819" w14:textId="648EBA36" w:rsidR="003B4799" w:rsidRPr="000F6792" w:rsidRDefault="0035727B" w:rsidP="00AB0A61">
      <w:pPr>
        <w:spacing w:line="360" w:lineRule="auto"/>
        <w:jc w:val="both"/>
        <w:rPr>
          <w:rFonts w:ascii="Abadi" w:hAnsi="Abadi"/>
          <w:sz w:val="26"/>
          <w:szCs w:val="26"/>
        </w:rPr>
      </w:pPr>
      <w:r w:rsidRPr="000F6792">
        <w:rPr>
          <w:rFonts w:ascii="Abadi" w:hAnsi="Abadi"/>
          <w:sz w:val="26"/>
          <w:szCs w:val="26"/>
        </w:rPr>
        <w:t xml:space="preserve">Neste sentido, reitera, nesta oportunidade, que a fiscalização contratual a que </w:t>
      </w:r>
      <w:r w:rsidR="00BF2820" w:rsidRPr="000F6792">
        <w:rPr>
          <w:rFonts w:ascii="Abadi" w:hAnsi="Abadi"/>
          <w:sz w:val="26"/>
          <w:szCs w:val="26"/>
        </w:rPr>
        <w:t xml:space="preserve">faz referência a Tese fixada pela Corte Suprema, há de </w:t>
      </w:r>
      <w:r w:rsidR="0049241E" w:rsidRPr="000F6792">
        <w:rPr>
          <w:rFonts w:ascii="Abadi" w:hAnsi="Abadi"/>
          <w:sz w:val="26"/>
          <w:szCs w:val="26"/>
        </w:rPr>
        <w:t xml:space="preserve">ter por resultado último </w:t>
      </w:r>
      <w:r w:rsidR="00184CFD" w:rsidRPr="000F6792">
        <w:rPr>
          <w:rFonts w:ascii="Abadi" w:hAnsi="Abadi"/>
          <w:sz w:val="26"/>
          <w:szCs w:val="26"/>
        </w:rPr>
        <w:t>o fiel adimplemento de todas as obrigações que recaem sobre as empresas prestadoras de serviços, inclusive aquelas insertas em normas coletivas.</w:t>
      </w:r>
    </w:p>
    <w:p w14:paraId="0E7898ED" w14:textId="6E97C601" w:rsidR="00184CFD" w:rsidRPr="000F6792" w:rsidRDefault="00295F0A" w:rsidP="00AB0A61">
      <w:pPr>
        <w:spacing w:line="360" w:lineRule="auto"/>
        <w:jc w:val="both"/>
        <w:rPr>
          <w:rFonts w:ascii="Abadi" w:hAnsi="Abadi"/>
          <w:sz w:val="26"/>
          <w:szCs w:val="26"/>
        </w:rPr>
      </w:pPr>
      <w:r w:rsidRPr="000F6792">
        <w:rPr>
          <w:rFonts w:ascii="Abadi" w:hAnsi="Abadi"/>
          <w:sz w:val="26"/>
          <w:szCs w:val="26"/>
        </w:rPr>
        <w:t xml:space="preserve">De se registrar que, no que tange à prestação de serviços de </w:t>
      </w:r>
      <w:r w:rsidR="005C2FDD">
        <w:rPr>
          <w:rFonts w:ascii="Abadi" w:hAnsi="Abadi"/>
          <w:sz w:val="26"/>
          <w:szCs w:val="26"/>
        </w:rPr>
        <w:t>tais atividades</w:t>
      </w:r>
      <w:r w:rsidR="00BC7874" w:rsidRPr="000F6792">
        <w:rPr>
          <w:rFonts w:ascii="Abadi" w:hAnsi="Abadi"/>
          <w:sz w:val="26"/>
          <w:szCs w:val="26"/>
        </w:rPr>
        <w:t xml:space="preserve">, além das garantias estipuladas na Consolidação das Leis do Trabalho e </w:t>
      </w:r>
      <w:r w:rsidR="00BA61BB" w:rsidRPr="000F6792">
        <w:rPr>
          <w:rFonts w:ascii="Abadi" w:hAnsi="Abadi"/>
          <w:sz w:val="26"/>
          <w:szCs w:val="26"/>
        </w:rPr>
        <w:t>legislação correlata, devem ser</w:t>
      </w:r>
      <w:r w:rsidR="00A5533D" w:rsidRPr="000F6792">
        <w:rPr>
          <w:rFonts w:ascii="Abadi" w:hAnsi="Abadi"/>
          <w:sz w:val="26"/>
          <w:szCs w:val="26"/>
        </w:rPr>
        <w:t xml:space="preserve"> criteriosamente </w:t>
      </w:r>
      <w:r w:rsidR="00BB33F2" w:rsidRPr="000F6792">
        <w:rPr>
          <w:rFonts w:ascii="Abadi" w:hAnsi="Abadi"/>
          <w:sz w:val="26"/>
          <w:szCs w:val="26"/>
        </w:rPr>
        <w:t>observadas as obrigações</w:t>
      </w:r>
      <w:r w:rsidR="004F696D" w:rsidRPr="000F6792">
        <w:rPr>
          <w:rFonts w:ascii="Abadi" w:hAnsi="Abadi"/>
          <w:sz w:val="26"/>
          <w:szCs w:val="26"/>
        </w:rPr>
        <w:t>, pisos salariais</w:t>
      </w:r>
      <w:r w:rsidR="00BB33F2" w:rsidRPr="000F6792">
        <w:rPr>
          <w:rFonts w:ascii="Abadi" w:hAnsi="Abadi"/>
          <w:sz w:val="26"/>
          <w:szCs w:val="26"/>
        </w:rPr>
        <w:t xml:space="preserve"> </w:t>
      </w:r>
      <w:r w:rsidR="004F696D" w:rsidRPr="000F6792">
        <w:rPr>
          <w:rFonts w:ascii="Abadi" w:hAnsi="Abadi"/>
          <w:sz w:val="26"/>
          <w:szCs w:val="26"/>
        </w:rPr>
        <w:t xml:space="preserve">e benefícios </w:t>
      </w:r>
      <w:r w:rsidR="00BB33F2" w:rsidRPr="000F6792">
        <w:rPr>
          <w:rFonts w:ascii="Abadi" w:hAnsi="Abadi"/>
          <w:sz w:val="26"/>
          <w:szCs w:val="26"/>
        </w:rPr>
        <w:t>consolidad</w:t>
      </w:r>
      <w:r w:rsidR="004F696D" w:rsidRPr="000F6792">
        <w:rPr>
          <w:rFonts w:ascii="Abadi" w:hAnsi="Abadi"/>
          <w:sz w:val="26"/>
          <w:szCs w:val="26"/>
        </w:rPr>
        <w:t>o</w:t>
      </w:r>
      <w:r w:rsidR="00BB33F2" w:rsidRPr="000F6792">
        <w:rPr>
          <w:rFonts w:ascii="Abadi" w:hAnsi="Abadi"/>
          <w:sz w:val="26"/>
          <w:szCs w:val="26"/>
        </w:rPr>
        <w:t>s na</w:t>
      </w:r>
      <w:r w:rsidR="00A93C02">
        <w:rPr>
          <w:rFonts w:ascii="Abadi" w:hAnsi="Abadi"/>
          <w:sz w:val="26"/>
          <w:szCs w:val="26"/>
        </w:rPr>
        <w:t>s</w:t>
      </w:r>
      <w:r w:rsidR="00BB33F2" w:rsidRPr="000F6792">
        <w:rPr>
          <w:rFonts w:ascii="Abadi" w:hAnsi="Abadi"/>
          <w:sz w:val="26"/>
          <w:szCs w:val="26"/>
        </w:rPr>
        <w:t xml:space="preserve"> </w:t>
      </w:r>
      <w:r w:rsidR="00E06FFE" w:rsidRPr="000F6792">
        <w:rPr>
          <w:rFonts w:ascii="Abadi" w:hAnsi="Abadi"/>
          <w:sz w:val="26"/>
          <w:szCs w:val="26"/>
        </w:rPr>
        <w:t>Convenç</w:t>
      </w:r>
      <w:r w:rsidR="00A93C02">
        <w:rPr>
          <w:rFonts w:ascii="Abadi" w:hAnsi="Abadi"/>
          <w:sz w:val="26"/>
          <w:szCs w:val="26"/>
        </w:rPr>
        <w:t>ões</w:t>
      </w:r>
      <w:r w:rsidR="00E06FFE" w:rsidRPr="000F6792">
        <w:rPr>
          <w:rFonts w:ascii="Abadi" w:hAnsi="Abadi"/>
          <w:sz w:val="26"/>
          <w:szCs w:val="26"/>
        </w:rPr>
        <w:t xml:space="preserve"> Coletiva</w:t>
      </w:r>
      <w:r w:rsidR="00A93C02">
        <w:rPr>
          <w:rFonts w:ascii="Abadi" w:hAnsi="Abadi"/>
          <w:sz w:val="26"/>
          <w:szCs w:val="26"/>
        </w:rPr>
        <w:t>s</w:t>
      </w:r>
      <w:r w:rsidR="00E06FFE" w:rsidRPr="000F6792">
        <w:rPr>
          <w:rFonts w:ascii="Abadi" w:hAnsi="Abadi"/>
          <w:sz w:val="26"/>
          <w:szCs w:val="26"/>
        </w:rPr>
        <w:t xml:space="preserve"> de Trabalho celebrada</w:t>
      </w:r>
      <w:r w:rsidR="00A93C02">
        <w:rPr>
          <w:rFonts w:ascii="Abadi" w:hAnsi="Abadi"/>
          <w:sz w:val="26"/>
          <w:szCs w:val="26"/>
        </w:rPr>
        <w:t>s</w:t>
      </w:r>
      <w:r w:rsidR="00E06FFE" w:rsidRPr="000F6792">
        <w:rPr>
          <w:rFonts w:ascii="Abadi" w:hAnsi="Abadi"/>
          <w:sz w:val="26"/>
          <w:szCs w:val="26"/>
        </w:rPr>
        <w:t xml:space="preserve"> entre </w:t>
      </w:r>
      <w:r w:rsidR="00D836E5">
        <w:rPr>
          <w:rFonts w:ascii="Abadi" w:hAnsi="Abadi"/>
          <w:sz w:val="26"/>
          <w:szCs w:val="26"/>
        </w:rPr>
        <w:t>o SEAC/MG e entidades sindicais profissionais com representação nas localidades abrangidas pelo presente processo licitatório.</w:t>
      </w:r>
    </w:p>
    <w:p w14:paraId="0BBDAA30" w14:textId="34F0647A" w:rsidR="00EC1A3D" w:rsidRPr="000F6792" w:rsidRDefault="009E0899" w:rsidP="00AB0A61">
      <w:pPr>
        <w:spacing w:line="360" w:lineRule="auto"/>
        <w:jc w:val="both"/>
        <w:rPr>
          <w:rFonts w:ascii="Abadi" w:hAnsi="Abadi"/>
          <w:sz w:val="26"/>
          <w:szCs w:val="26"/>
        </w:rPr>
      </w:pPr>
      <w:r w:rsidRPr="000F6792">
        <w:rPr>
          <w:rFonts w:ascii="Abadi" w:hAnsi="Abadi"/>
          <w:sz w:val="26"/>
          <w:szCs w:val="26"/>
        </w:rPr>
        <w:t xml:space="preserve">Outrossim, </w:t>
      </w:r>
      <w:r w:rsidR="00FA3D6D" w:rsidRPr="000F6792">
        <w:rPr>
          <w:rFonts w:ascii="Abadi" w:hAnsi="Abadi"/>
          <w:sz w:val="26"/>
          <w:szCs w:val="26"/>
        </w:rPr>
        <w:t>a entidade sindica</w:t>
      </w:r>
      <w:r w:rsidR="007D459C">
        <w:rPr>
          <w:rFonts w:ascii="Abadi" w:hAnsi="Abadi"/>
          <w:sz w:val="26"/>
          <w:szCs w:val="26"/>
        </w:rPr>
        <w:t xml:space="preserve">l </w:t>
      </w:r>
      <w:r w:rsidR="00FA3D6D" w:rsidRPr="000F6792">
        <w:rPr>
          <w:rFonts w:ascii="Abadi" w:hAnsi="Abadi"/>
          <w:sz w:val="26"/>
          <w:szCs w:val="26"/>
        </w:rPr>
        <w:t>Notificante, registra-se, não ir</w:t>
      </w:r>
      <w:r w:rsidR="007D459C">
        <w:rPr>
          <w:rFonts w:ascii="Abadi" w:hAnsi="Abadi"/>
          <w:sz w:val="26"/>
          <w:szCs w:val="26"/>
        </w:rPr>
        <w:t>á</w:t>
      </w:r>
      <w:r w:rsidR="00FA3D6D" w:rsidRPr="000F6792">
        <w:rPr>
          <w:rFonts w:ascii="Abadi" w:hAnsi="Abadi"/>
          <w:sz w:val="26"/>
          <w:szCs w:val="26"/>
        </w:rPr>
        <w:t xml:space="preserve"> admitir</w:t>
      </w:r>
      <w:r w:rsidR="0051027D" w:rsidRPr="000F6792">
        <w:rPr>
          <w:rFonts w:ascii="Abadi" w:hAnsi="Abadi"/>
          <w:sz w:val="26"/>
          <w:szCs w:val="26"/>
        </w:rPr>
        <w:t xml:space="preserve">, para efeitos de </w:t>
      </w:r>
      <w:r w:rsidR="006D00A8" w:rsidRPr="000F6792">
        <w:rPr>
          <w:rFonts w:ascii="Abadi" w:hAnsi="Abadi"/>
          <w:sz w:val="26"/>
          <w:szCs w:val="26"/>
        </w:rPr>
        <w:t xml:space="preserve">avaliação e julgamento das propostas, o acolhimento de </w:t>
      </w:r>
      <w:r w:rsidR="0036302E" w:rsidRPr="000F6792">
        <w:rPr>
          <w:rFonts w:ascii="Abadi" w:hAnsi="Abadi"/>
          <w:sz w:val="26"/>
          <w:szCs w:val="26"/>
        </w:rPr>
        <w:t xml:space="preserve">convenções coletivas de trabalho que não aquela </w:t>
      </w:r>
      <w:r w:rsidR="00D64F80">
        <w:rPr>
          <w:rFonts w:ascii="Abadi" w:hAnsi="Abadi"/>
          <w:sz w:val="26"/>
          <w:szCs w:val="26"/>
        </w:rPr>
        <w:t xml:space="preserve">por ela </w:t>
      </w:r>
      <w:r w:rsidR="0036302E" w:rsidRPr="000F6792">
        <w:rPr>
          <w:rFonts w:ascii="Abadi" w:hAnsi="Abadi"/>
          <w:sz w:val="26"/>
          <w:szCs w:val="26"/>
        </w:rPr>
        <w:t xml:space="preserve">celebrada, </w:t>
      </w:r>
      <w:r w:rsidR="00164085">
        <w:rPr>
          <w:rFonts w:ascii="Abadi" w:hAnsi="Abadi"/>
          <w:sz w:val="26"/>
          <w:szCs w:val="26"/>
        </w:rPr>
        <w:t xml:space="preserve">de vez que </w:t>
      </w:r>
      <w:r w:rsidR="00CB428B">
        <w:rPr>
          <w:rFonts w:ascii="Abadi" w:hAnsi="Abadi"/>
          <w:sz w:val="26"/>
          <w:szCs w:val="26"/>
        </w:rPr>
        <w:t>unicamente</w:t>
      </w:r>
      <w:r w:rsidR="0036302E" w:rsidRPr="000F6792">
        <w:rPr>
          <w:rFonts w:ascii="Abadi" w:hAnsi="Abadi"/>
          <w:sz w:val="26"/>
          <w:szCs w:val="26"/>
        </w:rPr>
        <w:t xml:space="preserve"> </w:t>
      </w:r>
      <w:r w:rsidR="004B623A" w:rsidRPr="000F6792">
        <w:rPr>
          <w:rFonts w:ascii="Abadi" w:hAnsi="Abadi"/>
          <w:sz w:val="26"/>
          <w:szCs w:val="26"/>
        </w:rPr>
        <w:t xml:space="preserve">representam as categorias e atividades </w:t>
      </w:r>
      <w:r w:rsidR="001D2F8A">
        <w:rPr>
          <w:rFonts w:ascii="Abadi" w:hAnsi="Abadi"/>
          <w:sz w:val="26"/>
          <w:szCs w:val="26"/>
        </w:rPr>
        <w:t>em questão</w:t>
      </w:r>
      <w:r w:rsidR="004B623A" w:rsidRPr="000F6792">
        <w:rPr>
          <w:rFonts w:ascii="Abadi" w:hAnsi="Abadi"/>
          <w:sz w:val="26"/>
          <w:szCs w:val="26"/>
        </w:rPr>
        <w:t>, sendo inaceitáveis quaisquer outras normas coletivas</w:t>
      </w:r>
      <w:r w:rsidR="002023C9" w:rsidRPr="000F6792">
        <w:rPr>
          <w:rFonts w:ascii="Abadi" w:hAnsi="Abadi"/>
          <w:sz w:val="26"/>
          <w:szCs w:val="26"/>
        </w:rPr>
        <w:t xml:space="preserve"> como instrumentos a </w:t>
      </w:r>
      <w:r w:rsidR="00BA1AEF" w:rsidRPr="000F6792">
        <w:rPr>
          <w:rFonts w:ascii="Abadi" w:hAnsi="Abadi"/>
          <w:sz w:val="26"/>
          <w:szCs w:val="26"/>
        </w:rPr>
        <w:t>balizarem a formação de preços, salários e encargos</w:t>
      </w:r>
      <w:r w:rsidR="00EC1A3D" w:rsidRPr="000F6792">
        <w:rPr>
          <w:rFonts w:ascii="Abadi" w:hAnsi="Abadi"/>
          <w:sz w:val="26"/>
          <w:szCs w:val="26"/>
        </w:rPr>
        <w:t>.</w:t>
      </w:r>
    </w:p>
    <w:p w14:paraId="56DBBC90" w14:textId="2C88F099" w:rsidR="00A44BF9" w:rsidRPr="000F6792" w:rsidRDefault="00FC3A72" w:rsidP="00AB0A61">
      <w:pPr>
        <w:spacing w:line="360" w:lineRule="auto"/>
        <w:jc w:val="both"/>
        <w:rPr>
          <w:rFonts w:ascii="Abadi" w:hAnsi="Abadi"/>
          <w:b/>
          <w:bCs/>
          <w:i/>
          <w:iCs/>
          <w:sz w:val="26"/>
          <w:szCs w:val="26"/>
        </w:rPr>
      </w:pPr>
      <w:r>
        <w:rPr>
          <w:rFonts w:ascii="Abadi" w:hAnsi="Abadi"/>
          <w:sz w:val="26"/>
          <w:szCs w:val="26"/>
        </w:rPr>
        <w:lastRenderedPageBreak/>
        <w:t>Despiciendo apontar que c</w:t>
      </w:r>
      <w:r w:rsidR="001D3A81" w:rsidRPr="000F6792">
        <w:rPr>
          <w:rFonts w:ascii="Abadi" w:hAnsi="Abadi"/>
          <w:sz w:val="26"/>
          <w:szCs w:val="26"/>
        </w:rPr>
        <w:t xml:space="preserve">umpre a administração, </w:t>
      </w:r>
      <w:r w:rsidR="00224A9F" w:rsidRPr="000F6792">
        <w:rPr>
          <w:rFonts w:ascii="Abadi" w:hAnsi="Abadi"/>
          <w:sz w:val="26"/>
          <w:szCs w:val="26"/>
        </w:rPr>
        <w:t xml:space="preserve">conforme expressamente autorizado pelo </w:t>
      </w:r>
      <w:r w:rsidR="009F11E1" w:rsidRPr="000F6792">
        <w:rPr>
          <w:rFonts w:ascii="Abadi" w:hAnsi="Abadi"/>
          <w:sz w:val="26"/>
          <w:szCs w:val="26"/>
        </w:rPr>
        <w:t>Acórdão 1207/2024</w:t>
      </w:r>
      <w:r w:rsidR="00324636" w:rsidRPr="000F6792">
        <w:rPr>
          <w:rFonts w:ascii="Abadi" w:hAnsi="Abadi"/>
          <w:sz w:val="26"/>
          <w:szCs w:val="26"/>
        </w:rPr>
        <w:t xml:space="preserve">, </w:t>
      </w:r>
      <w:r w:rsidR="00A44BF9" w:rsidRPr="000F6792">
        <w:rPr>
          <w:rFonts w:ascii="Abadi" w:hAnsi="Abadi"/>
          <w:b/>
          <w:bCs/>
          <w:i/>
          <w:iCs/>
          <w:sz w:val="26"/>
          <w:szCs w:val="26"/>
        </w:rPr>
        <w:t>“</w:t>
      </w:r>
      <w:r w:rsidR="00090CFA" w:rsidRPr="000F6792">
        <w:rPr>
          <w:rFonts w:ascii="Abadi" w:hAnsi="Abadi"/>
          <w:b/>
          <w:bCs/>
          <w:i/>
          <w:iCs/>
          <w:sz w:val="26"/>
          <w:szCs w:val="26"/>
        </w:rPr>
        <w:t>prever que somente serão aceitas propostas que adotarem na planilha de custos e formação de preços (PCFP) o valor igual ou superior ao valor orçado pela Administração para a soma dos itens de salário e auxílio-alimentação, admitidos também, a critério da Administração, outros benefícios de natureza social considerados essenciais à dignidade do trabalho, devidamente justificados, os quais devem ser estimados com base na convenção coletiva de trabalho paradigma, que é aquela que melhor se adequa à categoria profissional que executará os serviços terceirizados, considerando a base territorial onde os serviços serão prestados.</w:t>
      </w:r>
      <w:r w:rsidR="00A44BF9" w:rsidRPr="000F6792">
        <w:rPr>
          <w:rFonts w:ascii="Abadi" w:hAnsi="Abadi"/>
          <w:b/>
          <w:bCs/>
          <w:i/>
          <w:iCs/>
          <w:sz w:val="26"/>
          <w:szCs w:val="26"/>
        </w:rPr>
        <w:t>”</w:t>
      </w:r>
    </w:p>
    <w:p w14:paraId="4204C9CF" w14:textId="33D1D3E6" w:rsidR="00A44BF9" w:rsidRPr="000F6792" w:rsidRDefault="00A44BF9" w:rsidP="00AB0A61">
      <w:pPr>
        <w:spacing w:line="360" w:lineRule="auto"/>
        <w:jc w:val="both"/>
        <w:rPr>
          <w:rFonts w:ascii="Abadi" w:hAnsi="Abadi"/>
          <w:sz w:val="26"/>
          <w:szCs w:val="26"/>
        </w:rPr>
      </w:pPr>
      <w:r w:rsidRPr="000F6792">
        <w:rPr>
          <w:rFonts w:ascii="Abadi" w:hAnsi="Abadi"/>
          <w:sz w:val="26"/>
          <w:szCs w:val="26"/>
        </w:rPr>
        <w:t xml:space="preserve">De todo inaceitável é a </w:t>
      </w:r>
      <w:r w:rsidR="003409B0" w:rsidRPr="000F6792">
        <w:rPr>
          <w:rFonts w:ascii="Abadi" w:hAnsi="Abadi"/>
          <w:sz w:val="26"/>
          <w:szCs w:val="26"/>
        </w:rPr>
        <w:t xml:space="preserve">classificação de proposta que, no mero intuito de obter vantagem indevida no curso do certame licitatório, </w:t>
      </w:r>
      <w:r w:rsidR="00437BE8" w:rsidRPr="000F6792">
        <w:rPr>
          <w:rFonts w:ascii="Abadi" w:hAnsi="Abadi"/>
          <w:sz w:val="26"/>
          <w:szCs w:val="26"/>
        </w:rPr>
        <w:t xml:space="preserve">lança mão de convenção coletiva de trabalho </w:t>
      </w:r>
      <w:r w:rsidR="00AD3786" w:rsidRPr="000F6792">
        <w:rPr>
          <w:rFonts w:ascii="Abadi" w:hAnsi="Abadi"/>
          <w:sz w:val="26"/>
          <w:szCs w:val="26"/>
        </w:rPr>
        <w:t>diversa do instrumento firmado entre as entidades sindicais Notificantes.</w:t>
      </w:r>
      <w:r w:rsidR="00B80572" w:rsidRPr="000F6792">
        <w:rPr>
          <w:rFonts w:ascii="Abadi" w:hAnsi="Abadi"/>
          <w:sz w:val="26"/>
          <w:szCs w:val="26"/>
        </w:rPr>
        <w:t xml:space="preserve"> </w:t>
      </w:r>
    </w:p>
    <w:p w14:paraId="793B5527" w14:textId="606D87FF" w:rsidR="00F07D23" w:rsidRPr="000F6792" w:rsidRDefault="00F07D23" w:rsidP="00AB0A61">
      <w:pPr>
        <w:spacing w:line="360" w:lineRule="auto"/>
        <w:jc w:val="both"/>
        <w:rPr>
          <w:rFonts w:ascii="Abadi" w:hAnsi="Abadi"/>
          <w:sz w:val="26"/>
          <w:szCs w:val="26"/>
        </w:rPr>
      </w:pPr>
      <w:r w:rsidRPr="000F6792">
        <w:rPr>
          <w:rFonts w:ascii="Abadi" w:hAnsi="Abadi"/>
          <w:sz w:val="26"/>
          <w:szCs w:val="26"/>
        </w:rPr>
        <w:t xml:space="preserve">Compete informar, ademais, que o </w:t>
      </w:r>
      <w:r w:rsidR="001E3DDE" w:rsidRPr="000F6792">
        <w:rPr>
          <w:rFonts w:ascii="Abadi" w:hAnsi="Abadi"/>
          <w:sz w:val="26"/>
          <w:szCs w:val="26"/>
        </w:rPr>
        <w:t>Ministério Público do Trabalho, por meio d</w:t>
      </w:r>
      <w:r w:rsidR="00B80572" w:rsidRPr="000F6792">
        <w:rPr>
          <w:rFonts w:ascii="Abadi" w:hAnsi="Abadi"/>
          <w:sz w:val="26"/>
          <w:szCs w:val="26"/>
        </w:rPr>
        <w:t>a CONALIS/CONAP, editou Orientação nº 22</w:t>
      </w:r>
      <w:r w:rsidR="00CC51D1" w:rsidRPr="000F6792">
        <w:rPr>
          <w:rFonts w:ascii="Abadi" w:hAnsi="Abadi"/>
          <w:sz w:val="26"/>
          <w:szCs w:val="26"/>
        </w:rPr>
        <w:t>, nos seguintes termos:</w:t>
      </w:r>
    </w:p>
    <w:p w14:paraId="618151C5" w14:textId="09C11169" w:rsidR="00CC51D1" w:rsidRPr="000F6792" w:rsidRDefault="00CC51D1" w:rsidP="00AB0A61">
      <w:pPr>
        <w:spacing w:line="360" w:lineRule="auto"/>
        <w:jc w:val="both"/>
        <w:rPr>
          <w:rFonts w:ascii="Abadi" w:hAnsi="Abadi"/>
          <w:b/>
          <w:bCs/>
          <w:i/>
          <w:iCs/>
          <w:sz w:val="26"/>
          <w:szCs w:val="26"/>
        </w:rPr>
      </w:pPr>
      <w:r w:rsidRPr="000F6792">
        <w:rPr>
          <w:rFonts w:ascii="Abadi" w:hAnsi="Abadi"/>
          <w:b/>
          <w:bCs/>
          <w:i/>
          <w:iCs/>
          <w:sz w:val="26"/>
          <w:szCs w:val="26"/>
        </w:rPr>
        <w:t xml:space="preserve">“O incorreto enquadramento sindical </w:t>
      </w:r>
      <w:r w:rsidR="009D2EFE" w:rsidRPr="000F6792">
        <w:rPr>
          <w:rFonts w:ascii="Abadi" w:hAnsi="Abadi"/>
          <w:b/>
          <w:bCs/>
          <w:i/>
          <w:iCs/>
          <w:sz w:val="26"/>
          <w:szCs w:val="26"/>
        </w:rPr>
        <w:t xml:space="preserve">com prejuízo aos(às) trabalhadores(as), por frustrar </w:t>
      </w:r>
      <w:r w:rsidR="004C5B72" w:rsidRPr="000F6792">
        <w:rPr>
          <w:rFonts w:ascii="Abadi" w:hAnsi="Abadi"/>
          <w:b/>
          <w:bCs/>
          <w:i/>
          <w:iCs/>
          <w:sz w:val="26"/>
          <w:szCs w:val="26"/>
        </w:rPr>
        <w:t>direitos trabalhistas previstos em Convenções e Acordos Coletivos de Trabalho, consiste</w:t>
      </w:r>
      <w:r w:rsidR="008F4BD3" w:rsidRPr="000F6792">
        <w:rPr>
          <w:rFonts w:ascii="Abadi" w:hAnsi="Abadi"/>
          <w:b/>
          <w:bCs/>
          <w:i/>
          <w:iCs/>
          <w:sz w:val="26"/>
          <w:szCs w:val="26"/>
        </w:rPr>
        <w:t xml:space="preserve">, em tese, em ato ou conduta antissindical e dumping social, inclusive quando praticados para </w:t>
      </w:r>
      <w:r w:rsidR="00DA018C" w:rsidRPr="000F6792">
        <w:rPr>
          <w:rFonts w:ascii="Abadi" w:hAnsi="Abadi"/>
          <w:b/>
          <w:bCs/>
          <w:i/>
          <w:iCs/>
          <w:sz w:val="26"/>
          <w:szCs w:val="26"/>
        </w:rPr>
        <w:t xml:space="preserve">obtenção de vantagens indevidas ou beneficiar-se </w:t>
      </w:r>
      <w:r w:rsidR="003C5B86" w:rsidRPr="000F6792">
        <w:rPr>
          <w:rFonts w:ascii="Abadi" w:hAnsi="Abadi"/>
          <w:b/>
          <w:bCs/>
          <w:i/>
          <w:iCs/>
          <w:sz w:val="26"/>
          <w:szCs w:val="26"/>
        </w:rPr>
        <w:t>em certame licitatório para prestação de serviços terceirizados à Administração Pública</w:t>
      </w:r>
      <w:r w:rsidR="002533EA" w:rsidRPr="000F6792">
        <w:rPr>
          <w:rFonts w:ascii="Abadi" w:hAnsi="Abadi"/>
          <w:b/>
          <w:bCs/>
          <w:i/>
          <w:iCs/>
          <w:sz w:val="26"/>
          <w:szCs w:val="26"/>
        </w:rPr>
        <w:t xml:space="preserve">, tendo em vista que tal medida mina a liberdade sindical, por impactar negativamente na capacidade do(das) </w:t>
      </w:r>
      <w:r w:rsidR="007B3A02" w:rsidRPr="000F6792">
        <w:rPr>
          <w:rFonts w:ascii="Abadi" w:hAnsi="Abadi"/>
          <w:b/>
          <w:bCs/>
          <w:i/>
          <w:iCs/>
          <w:sz w:val="26"/>
          <w:szCs w:val="26"/>
        </w:rPr>
        <w:t xml:space="preserve">trabalhadores(as) de se unirem em sindicatos de sua escolha e de negociar </w:t>
      </w:r>
      <w:r w:rsidR="00ED0A3F" w:rsidRPr="000F6792">
        <w:rPr>
          <w:rFonts w:ascii="Abadi" w:hAnsi="Abadi"/>
          <w:b/>
          <w:bCs/>
          <w:i/>
          <w:iCs/>
          <w:sz w:val="26"/>
          <w:szCs w:val="26"/>
        </w:rPr>
        <w:t>coletivamente em seu benefício.”</w:t>
      </w:r>
    </w:p>
    <w:p w14:paraId="10079B10" w14:textId="26AE2E48" w:rsidR="00ED0A3F" w:rsidRPr="000F6792" w:rsidRDefault="00ED0A3F" w:rsidP="00AB0A61">
      <w:pPr>
        <w:spacing w:line="360" w:lineRule="auto"/>
        <w:jc w:val="both"/>
        <w:rPr>
          <w:rFonts w:ascii="Abadi" w:hAnsi="Abadi"/>
          <w:sz w:val="26"/>
          <w:szCs w:val="26"/>
        </w:rPr>
      </w:pPr>
      <w:r w:rsidRPr="000F6792">
        <w:rPr>
          <w:rFonts w:ascii="Abadi" w:hAnsi="Abadi"/>
          <w:sz w:val="26"/>
          <w:szCs w:val="26"/>
        </w:rPr>
        <w:t xml:space="preserve">Por evidente, tal </w:t>
      </w:r>
      <w:r w:rsidR="009B6364" w:rsidRPr="000F6792">
        <w:rPr>
          <w:rFonts w:ascii="Abadi" w:hAnsi="Abadi"/>
          <w:sz w:val="26"/>
          <w:szCs w:val="26"/>
        </w:rPr>
        <w:t xml:space="preserve">posicionamento vem a corroborar o inafastável </w:t>
      </w:r>
      <w:r w:rsidR="00CA75B2" w:rsidRPr="000F6792">
        <w:rPr>
          <w:rFonts w:ascii="Abadi" w:hAnsi="Abadi"/>
          <w:sz w:val="26"/>
          <w:szCs w:val="26"/>
        </w:rPr>
        <w:t xml:space="preserve">dever </w:t>
      </w:r>
      <w:r w:rsidR="009B6364" w:rsidRPr="000F6792">
        <w:rPr>
          <w:rFonts w:ascii="Abadi" w:hAnsi="Abadi"/>
          <w:sz w:val="26"/>
          <w:szCs w:val="26"/>
        </w:rPr>
        <w:t xml:space="preserve">da administração contratante de </w:t>
      </w:r>
      <w:r w:rsidR="00447BFD" w:rsidRPr="000F6792">
        <w:rPr>
          <w:rFonts w:ascii="Abadi" w:hAnsi="Abadi"/>
          <w:sz w:val="26"/>
          <w:szCs w:val="26"/>
        </w:rPr>
        <w:t xml:space="preserve">acolher apenas e tão somente ofertas que contemplem os exatos termos da </w:t>
      </w:r>
      <w:r w:rsidR="00584F04" w:rsidRPr="000F6792">
        <w:rPr>
          <w:rFonts w:ascii="Abadi" w:hAnsi="Abadi"/>
          <w:sz w:val="26"/>
          <w:szCs w:val="26"/>
        </w:rPr>
        <w:t xml:space="preserve">convenção coletiva de trabalho ajustada entre as entidades Notificantes, eis que única </w:t>
      </w:r>
      <w:r w:rsidR="008F2CD2" w:rsidRPr="000F6792">
        <w:rPr>
          <w:rFonts w:ascii="Abadi" w:hAnsi="Abadi"/>
          <w:sz w:val="26"/>
          <w:szCs w:val="26"/>
        </w:rPr>
        <w:t>aplicável às relações de trabalho que irão resultar da contratação destas atividades</w:t>
      </w:r>
      <w:r w:rsidR="00073B88" w:rsidRPr="000F6792">
        <w:rPr>
          <w:rFonts w:ascii="Abadi" w:hAnsi="Abadi"/>
          <w:sz w:val="26"/>
          <w:szCs w:val="26"/>
        </w:rPr>
        <w:t xml:space="preserve"> e única a garantir aos </w:t>
      </w:r>
      <w:r w:rsidR="00073B88" w:rsidRPr="000F6792">
        <w:rPr>
          <w:rFonts w:ascii="Abadi" w:hAnsi="Abadi"/>
          <w:sz w:val="26"/>
          <w:szCs w:val="26"/>
        </w:rPr>
        <w:lastRenderedPageBreak/>
        <w:t xml:space="preserve">trabalhadores a integralidade dos </w:t>
      </w:r>
      <w:r w:rsidR="00CA75B2" w:rsidRPr="000F6792">
        <w:rPr>
          <w:rFonts w:ascii="Abadi" w:hAnsi="Abadi"/>
          <w:sz w:val="26"/>
          <w:szCs w:val="26"/>
        </w:rPr>
        <w:t>pisos salariais e demais benefícios alcançados pela categoria.</w:t>
      </w:r>
    </w:p>
    <w:p w14:paraId="4B7F8E82" w14:textId="50AD7753" w:rsidR="00D2642B" w:rsidRPr="000F6792" w:rsidRDefault="00A05980" w:rsidP="00AB0A61">
      <w:pPr>
        <w:spacing w:line="360" w:lineRule="auto"/>
        <w:jc w:val="both"/>
        <w:rPr>
          <w:rFonts w:ascii="Abadi" w:hAnsi="Abadi"/>
          <w:sz w:val="26"/>
          <w:szCs w:val="26"/>
        </w:rPr>
      </w:pPr>
      <w:r>
        <w:rPr>
          <w:rFonts w:ascii="Abadi" w:hAnsi="Abadi"/>
          <w:sz w:val="26"/>
          <w:szCs w:val="26"/>
        </w:rPr>
        <w:t>A</w:t>
      </w:r>
      <w:r w:rsidR="00D2642B" w:rsidRPr="000F6792">
        <w:rPr>
          <w:rFonts w:ascii="Abadi" w:hAnsi="Abadi"/>
          <w:sz w:val="26"/>
          <w:szCs w:val="26"/>
        </w:rPr>
        <w:t xml:space="preserve"> entidade sindica</w:t>
      </w:r>
      <w:r w:rsidR="007D459C">
        <w:rPr>
          <w:rFonts w:ascii="Abadi" w:hAnsi="Abadi"/>
          <w:sz w:val="26"/>
          <w:szCs w:val="26"/>
        </w:rPr>
        <w:t>l</w:t>
      </w:r>
      <w:r w:rsidR="00D2642B" w:rsidRPr="000F6792">
        <w:rPr>
          <w:rFonts w:ascii="Abadi" w:hAnsi="Abadi"/>
          <w:sz w:val="26"/>
          <w:szCs w:val="26"/>
        </w:rPr>
        <w:t xml:space="preserve"> signatária não ir</w:t>
      </w:r>
      <w:r w:rsidR="007D459C">
        <w:rPr>
          <w:rFonts w:ascii="Abadi" w:hAnsi="Abadi"/>
          <w:sz w:val="26"/>
          <w:szCs w:val="26"/>
        </w:rPr>
        <w:t xml:space="preserve">á </w:t>
      </w:r>
      <w:r w:rsidR="00F86F96" w:rsidRPr="000F6792">
        <w:rPr>
          <w:rFonts w:ascii="Abadi" w:hAnsi="Abadi"/>
          <w:sz w:val="26"/>
          <w:szCs w:val="26"/>
        </w:rPr>
        <w:t>se furtar a, sempre que necessário for, intervir</w:t>
      </w:r>
      <w:r w:rsidR="00A635D4">
        <w:rPr>
          <w:rFonts w:ascii="Abadi" w:hAnsi="Abadi"/>
          <w:sz w:val="26"/>
          <w:szCs w:val="26"/>
        </w:rPr>
        <w:t>em</w:t>
      </w:r>
      <w:r w:rsidR="00F86F96" w:rsidRPr="000F6792">
        <w:rPr>
          <w:rFonts w:ascii="Abadi" w:hAnsi="Abadi"/>
          <w:sz w:val="26"/>
          <w:szCs w:val="26"/>
        </w:rPr>
        <w:t xml:space="preserve">, seja </w:t>
      </w:r>
      <w:r w:rsidR="00BC2816" w:rsidRPr="000F6792">
        <w:rPr>
          <w:rFonts w:ascii="Abadi" w:hAnsi="Abadi"/>
          <w:sz w:val="26"/>
          <w:szCs w:val="26"/>
        </w:rPr>
        <w:t>na fase de seleção, seja na execução do contrato</w:t>
      </w:r>
      <w:r w:rsidR="006018AF" w:rsidRPr="000F6792">
        <w:rPr>
          <w:rFonts w:ascii="Abadi" w:hAnsi="Abadi"/>
          <w:sz w:val="26"/>
          <w:szCs w:val="26"/>
        </w:rPr>
        <w:t xml:space="preserve">, de maneira tal a garantir </w:t>
      </w:r>
      <w:r w:rsidR="00EF2C9E" w:rsidRPr="000F6792">
        <w:rPr>
          <w:rFonts w:ascii="Abadi" w:hAnsi="Abadi"/>
          <w:sz w:val="26"/>
          <w:szCs w:val="26"/>
        </w:rPr>
        <w:t>o estrito cumprimento das obrigações trabalhistas por parte da prestadora dos serviços</w:t>
      </w:r>
      <w:r w:rsidR="005A7E64" w:rsidRPr="000F6792">
        <w:rPr>
          <w:rFonts w:ascii="Abadi" w:hAnsi="Abadi"/>
          <w:sz w:val="26"/>
          <w:szCs w:val="26"/>
        </w:rPr>
        <w:t>, ainda que isto venha a implicar em medidas outras que não aquelas de índole meramente administrativas.</w:t>
      </w:r>
    </w:p>
    <w:p w14:paraId="3A6521E2" w14:textId="59368490" w:rsidR="00B946BB" w:rsidRDefault="0000153F" w:rsidP="00AB0A61">
      <w:pPr>
        <w:spacing w:line="360" w:lineRule="auto"/>
        <w:jc w:val="both"/>
        <w:rPr>
          <w:rFonts w:ascii="Abadi" w:hAnsi="Abadi"/>
          <w:sz w:val="26"/>
          <w:szCs w:val="26"/>
        </w:rPr>
      </w:pPr>
      <w:r w:rsidRPr="000F6792">
        <w:rPr>
          <w:rFonts w:ascii="Abadi" w:hAnsi="Abadi"/>
          <w:sz w:val="26"/>
          <w:szCs w:val="26"/>
        </w:rPr>
        <w:t xml:space="preserve">Por todo o exposto, fica V.Sa. NOTIFICADO </w:t>
      </w:r>
      <w:r w:rsidR="003C56CB" w:rsidRPr="000F6792">
        <w:rPr>
          <w:rFonts w:ascii="Abadi" w:hAnsi="Abadi"/>
          <w:sz w:val="26"/>
          <w:szCs w:val="26"/>
        </w:rPr>
        <w:t xml:space="preserve">a dar </w:t>
      </w:r>
      <w:r w:rsidR="003D7948" w:rsidRPr="000F6792">
        <w:rPr>
          <w:rFonts w:ascii="Abadi" w:hAnsi="Abadi"/>
          <w:sz w:val="26"/>
          <w:szCs w:val="26"/>
        </w:rPr>
        <w:t>integral</w:t>
      </w:r>
      <w:r w:rsidR="003C56CB" w:rsidRPr="000F6792">
        <w:rPr>
          <w:rFonts w:ascii="Abadi" w:hAnsi="Abadi"/>
          <w:sz w:val="26"/>
          <w:szCs w:val="26"/>
        </w:rPr>
        <w:t xml:space="preserve"> e contínuo cumprimento às determinações exaradas </w:t>
      </w:r>
      <w:r w:rsidR="003951CF" w:rsidRPr="000F6792">
        <w:rPr>
          <w:rFonts w:ascii="Abadi" w:hAnsi="Abadi"/>
          <w:sz w:val="26"/>
          <w:szCs w:val="26"/>
        </w:rPr>
        <w:t xml:space="preserve">pelo STF, </w:t>
      </w:r>
      <w:r w:rsidR="002D3BC6" w:rsidRPr="000F6792">
        <w:rPr>
          <w:rFonts w:ascii="Abadi" w:hAnsi="Abadi"/>
          <w:sz w:val="26"/>
          <w:szCs w:val="26"/>
        </w:rPr>
        <w:t xml:space="preserve">de forma a assegurar </w:t>
      </w:r>
      <w:r w:rsidR="007C624A" w:rsidRPr="000F6792">
        <w:rPr>
          <w:rFonts w:ascii="Abadi" w:hAnsi="Abadi"/>
          <w:sz w:val="26"/>
          <w:szCs w:val="26"/>
        </w:rPr>
        <w:t>a</w:t>
      </w:r>
      <w:r w:rsidR="003D7948" w:rsidRPr="000F6792">
        <w:rPr>
          <w:rFonts w:ascii="Abadi" w:hAnsi="Abadi"/>
          <w:sz w:val="26"/>
          <w:szCs w:val="26"/>
        </w:rPr>
        <w:t xml:space="preserve"> </w:t>
      </w:r>
      <w:r w:rsidR="0018716B">
        <w:rPr>
          <w:rFonts w:ascii="Abadi" w:hAnsi="Abadi"/>
          <w:sz w:val="26"/>
          <w:szCs w:val="26"/>
        </w:rPr>
        <w:t>adequada seleção competi</w:t>
      </w:r>
      <w:r w:rsidR="006A03BA">
        <w:rPr>
          <w:rFonts w:ascii="Abadi" w:hAnsi="Abadi"/>
          <w:sz w:val="26"/>
          <w:szCs w:val="26"/>
        </w:rPr>
        <w:t>tiva</w:t>
      </w:r>
      <w:r w:rsidR="00E3687E">
        <w:rPr>
          <w:rFonts w:ascii="Abadi" w:hAnsi="Abadi"/>
          <w:sz w:val="26"/>
          <w:szCs w:val="26"/>
        </w:rPr>
        <w:t xml:space="preserve">, especialmente no que toca às condições de qualificação e estrita observância das CONVENÇÕES COLETIVAS DE TRABALHO firmadas entre </w:t>
      </w:r>
      <w:r w:rsidR="002C4104">
        <w:rPr>
          <w:rFonts w:ascii="Abadi" w:hAnsi="Abadi"/>
          <w:sz w:val="26"/>
          <w:szCs w:val="26"/>
        </w:rPr>
        <w:t xml:space="preserve">o SEAC/MG </w:t>
      </w:r>
      <w:r w:rsidR="000A599E">
        <w:rPr>
          <w:rFonts w:ascii="Abadi" w:hAnsi="Abadi"/>
          <w:sz w:val="26"/>
          <w:szCs w:val="26"/>
        </w:rPr>
        <w:t xml:space="preserve"> e demais sindicatos profissionais de asseio e conservação </w:t>
      </w:r>
      <w:r w:rsidR="002C4104">
        <w:rPr>
          <w:rFonts w:ascii="Abadi" w:hAnsi="Abadi"/>
          <w:sz w:val="26"/>
          <w:szCs w:val="26"/>
        </w:rPr>
        <w:t>com representação sindical no interior do Estado de Minas Gerais</w:t>
      </w:r>
      <w:r w:rsidR="00E3687E">
        <w:rPr>
          <w:rFonts w:ascii="Abadi" w:hAnsi="Abadi"/>
          <w:sz w:val="26"/>
          <w:szCs w:val="26"/>
        </w:rPr>
        <w:t xml:space="preserve">, </w:t>
      </w:r>
      <w:r w:rsidR="006A03BA">
        <w:rPr>
          <w:rFonts w:ascii="Abadi" w:hAnsi="Abadi"/>
          <w:sz w:val="26"/>
          <w:szCs w:val="26"/>
        </w:rPr>
        <w:t xml:space="preserve"> </w:t>
      </w:r>
      <w:r w:rsidR="0018716B">
        <w:rPr>
          <w:rFonts w:ascii="Abadi" w:hAnsi="Abadi"/>
          <w:sz w:val="26"/>
          <w:szCs w:val="26"/>
        </w:rPr>
        <w:t xml:space="preserve">e a </w:t>
      </w:r>
      <w:r w:rsidR="003D7948" w:rsidRPr="000F6792">
        <w:rPr>
          <w:rFonts w:ascii="Abadi" w:hAnsi="Abadi"/>
          <w:sz w:val="26"/>
          <w:szCs w:val="26"/>
        </w:rPr>
        <w:t>efetiva</w:t>
      </w:r>
      <w:r w:rsidR="007C624A" w:rsidRPr="000F6792">
        <w:rPr>
          <w:rFonts w:ascii="Abadi" w:hAnsi="Abadi"/>
          <w:sz w:val="26"/>
          <w:szCs w:val="26"/>
        </w:rPr>
        <w:t xml:space="preserve"> fiscalização dos contratos administrativos a serem celebrados por este órgão</w:t>
      </w:r>
      <w:r w:rsidR="00931506" w:rsidRPr="000F6792">
        <w:rPr>
          <w:rFonts w:ascii="Abadi" w:hAnsi="Abadi"/>
          <w:sz w:val="26"/>
          <w:szCs w:val="26"/>
        </w:rPr>
        <w:t>, sob pena de sujeitar-se à responsabilização subsidiária pel</w:t>
      </w:r>
      <w:r w:rsidR="001A24F2" w:rsidRPr="000F6792">
        <w:rPr>
          <w:rFonts w:ascii="Abadi" w:hAnsi="Abadi"/>
          <w:sz w:val="26"/>
          <w:szCs w:val="26"/>
        </w:rPr>
        <w:t>o inadimplemento das obrigações trabalhistas decorrentes da contratação</w:t>
      </w:r>
      <w:r w:rsidR="002012EC" w:rsidRPr="000F6792">
        <w:rPr>
          <w:rFonts w:ascii="Abadi" w:hAnsi="Abadi"/>
          <w:sz w:val="26"/>
          <w:szCs w:val="26"/>
        </w:rPr>
        <w:t>.</w:t>
      </w:r>
    </w:p>
    <w:p w14:paraId="240DE57C" w14:textId="77777777" w:rsidR="006A03BA" w:rsidRDefault="006A03BA" w:rsidP="00AB0A61">
      <w:pPr>
        <w:spacing w:line="360" w:lineRule="auto"/>
        <w:jc w:val="both"/>
        <w:rPr>
          <w:rFonts w:ascii="Abadi" w:hAnsi="Abadi"/>
          <w:sz w:val="26"/>
          <w:szCs w:val="26"/>
        </w:rPr>
      </w:pPr>
    </w:p>
    <w:p w14:paraId="09A8B301" w14:textId="5DC7927D" w:rsidR="006A03BA" w:rsidRDefault="006A03BA" w:rsidP="00AB0A61">
      <w:pPr>
        <w:spacing w:line="360" w:lineRule="auto"/>
        <w:jc w:val="both"/>
        <w:rPr>
          <w:rFonts w:ascii="Abadi" w:hAnsi="Abadi"/>
          <w:sz w:val="26"/>
          <w:szCs w:val="26"/>
        </w:rPr>
      </w:pPr>
      <w:r>
        <w:rPr>
          <w:rFonts w:ascii="Abadi" w:hAnsi="Abadi"/>
          <w:sz w:val="26"/>
          <w:szCs w:val="26"/>
        </w:rPr>
        <w:t xml:space="preserve">Belo Horizonte, </w:t>
      </w:r>
      <w:r w:rsidR="009779A4">
        <w:rPr>
          <w:rFonts w:ascii="Abadi" w:hAnsi="Abadi"/>
          <w:sz w:val="26"/>
          <w:szCs w:val="26"/>
        </w:rPr>
        <w:t>14 de janeiro de 2026.</w:t>
      </w:r>
    </w:p>
    <w:p w14:paraId="03CA574D" w14:textId="77777777" w:rsidR="005E0407" w:rsidRDefault="005E0407" w:rsidP="00AB0A61">
      <w:pPr>
        <w:spacing w:line="360" w:lineRule="auto"/>
        <w:jc w:val="both"/>
        <w:rPr>
          <w:rFonts w:ascii="Abadi" w:hAnsi="Abadi"/>
          <w:sz w:val="26"/>
          <w:szCs w:val="26"/>
        </w:rPr>
      </w:pPr>
    </w:p>
    <w:p w14:paraId="0501C708" w14:textId="39E20DF7" w:rsidR="005E0407" w:rsidRPr="005E0407" w:rsidRDefault="005E0407" w:rsidP="005E0407">
      <w:pPr>
        <w:spacing w:line="360" w:lineRule="auto"/>
        <w:jc w:val="center"/>
        <w:rPr>
          <w:rFonts w:ascii="Abadi" w:hAnsi="Abadi"/>
          <w:sz w:val="26"/>
          <w:szCs w:val="26"/>
        </w:rPr>
      </w:pPr>
      <w:bookmarkStart w:id="0" w:name="_Hlk216691524"/>
      <w:proofErr w:type="spellStart"/>
      <w:r w:rsidRPr="005E0407">
        <w:rPr>
          <w:rFonts w:ascii="Abadi" w:hAnsi="Abadi"/>
          <w:sz w:val="26"/>
          <w:szCs w:val="26"/>
        </w:rPr>
        <w:t>p.p</w:t>
      </w:r>
      <w:proofErr w:type="spellEnd"/>
      <w:r w:rsidRPr="005E0407">
        <w:rPr>
          <w:rFonts w:ascii="Abadi" w:hAnsi="Abadi"/>
          <w:sz w:val="26"/>
          <w:szCs w:val="26"/>
        </w:rPr>
        <w:t>/ SINDICATO DAS EMPRESAS DE ASSEIO E CONSERVAÇÃO DO ESTADO DE</w:t>
      </w:r>
      <w:r>
        <w:rPr>
          <w:rFonts w:ascii="Abadi" w:hAnsi="Abadi"/>
          <w:sz w:val="26"/>
          <w:szCs w:val="26"/>
        </w:rPr>
        <w:t xml:space="preserve"> </w:t>
      </w:r>
      <w:r w:rsidRPr="005E0407">
        <w:rPr>
          <w:rFonts w:ascii="Abadi" w:hAnsi="Abadi"/>
          <w:sz w:val="26"/>
          <w:szCs w:val="26"/>
        </w:rPr>
        <w:t>MINAS GERAIS – SEAC/MG</w:t>
      </w:r>
    </w:p>
    <w:p w14:paraId="26FD3990" w14:textId="23F90433" w:rsidR="005E0407" w:rsidRPr="005E0407" w:rsidRDefault="005E0407" w:rsidP="005E0407">
      <w:pPr>
        <w:spacing w:line="360" w:lineRule="auto"/>
        <w:jc w:val="center"/>
        <w:rPr>
          <w:rFonts w:ascii="Abadi" w:hAnsi="Abadi"/>
          <w:i/>
          <w:iCs/>
          <w:sz w:val="26"/>
          <w:szCs w:val="26"/>
        </w:rPr>
      </w:pPr>
      <w:r w:rsidRPr="005E0407">
        <w:rPr>
          <w:rFonts w:ascii="Abadi" w:hAnsi="Abadi"/>
          <w:i/>
          <w:iCs/>
          <w:sz w:val="26"/>
          <w:szCs w:val="26"/>
        </w:rPr>
        <w:t>José Costa Jorge</w:t>
      </w:r>
    </w:p>
    <w:p w14:paraId="0DDB7BC8" w14:textId="3A07EF0C" w:rsidR="005E0407" w:rsidRPr="005E0407" w:rsidRDefault="005E0407" w:rsidP="005E0407">
      <w:pPr>
        <w:spacing w:line="360" w:lineRule="auto"/>
        <w:jc w:val="center"/>
        <w:rPr>
          <w:rFonts w:ascii="Abadi" w:hAnsi="Abadi"/>
          <w:i/>
          <w:iCs/>
          <w:sz w:val="26"/>
          <w:szCs w:val="26"/>
        </w:rPr>
      </w:pPr>
      <w:r w:rsidRPr="005E0407">
        <w:rPr>
          <w:rFonts w:ascii="Abadi" w:hAnsi="Abadi"/>
          <w:i/>
          <w:iCs/>
          <w:sz w:val="26"/>
          <w:szCs w:val="26"/>
        </w:rPr>
        <w:t>OAB/MG 63.267</w:t>
      </w:r>
    </w:p>
    <w:bookmarkEnd w:id="0"/>
    <w:p w14:paraId="5B96215A" w14:textId="77777777" w:rsidR="005E0407" w:rsidRPr="005E0407" w:rsidRDefault="005E0407" w:rsidP="005E0407">
      <w:pPr>
        <w:spacing w:line="360" w:lineRule="auto"/>
        <w:jc w:val="both"/>
        <w:rPr>
          <w:rFonts w:ascii="Abadi" w:hAnsi="Abadi"/>
          <w:sz w:val="26"/>
          <w:szCs w:val="26"/>
        </w:rPr>
      </w:pPr>
    </w:p>
    <w:sectPr w:rsidR="005E0407" w:rsidRPr="005E04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24C2C"/>
    <w:multiLevelType w:val="hybridMultilevel"/>
    <w:tmpl w:val="3EFA4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228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0C"/>
    <w:rsid w:val="0000153F"/>
    <w:rsid w:val="00064541"/>
    <w:rsid w:val="00065E42"/>
    <w:rsid w:val="00071C4B"/>
    <w:rsid w:val="00072DD9"/>
    <w:rsid w:val="00073B88"/>
    <w:rsid w:val="000776E7"/>
    <w:rsid w:val="00090CFA"/>
    <w:rsid w:val="000A599E"/>
    <w:rsid w:val="000B6168"/>
    <w:rsid w:val="000F6792"/>
    <w:rsid w:val="00130B66"/>
    <w:rsid w:val="00135826"/>
    <w:rsid w:val="00164085"/>
    <w:rsid w:val="00184CFD"/>
    <w:rsid w:val="0018520C"/>
    <w:rsid w:val="0018716B"/>
    <w:rsid w:val="0019070D"/>
    <w:rsid w:val="001A24F2"/>
    <w:rsid w:val="001A3770"/>
    <w:rsid w:val="001B4AE7"/>
    <w:rsid w:val="001C7190"/>
    <w:rsid w:val="001D2F8A"/>
    <w:rsid w:val="001D3A81"/>
    <w:rsid w:val="001E3DDE"/>
    <w:rsid w:val="001E486B"/>
    <w:rsid w:val="002012EC"/>
    <w:rsid w:val="002023C9"/>
    <w:rsid w:val="00211B10"/>
    <w:rsid w:val="00224A9F"/>
    <w:rsid w:val="00224D31"/>
    <w:rsid w:val="002533EA"/>
    <w:rsid w:val="00295F0A"/>
    <w:rsid w:val="002A0A32"/>
    <w:rsid w:val="002B3F98"/>
    <w:rsid w:val="002C1026"/>
    <w:rsid w:val="002C4104"/>
    <w:rsid w:val="002D3BC6"/>
    <w:rsid w:val="002E4744"/>
    <w:rsid w:val="002E5554"/>
    <w:rsid w:val="002F28CA"/>
    <w:rsid w:val="0032149E"/>
    <w:rsid w:val="00324636"/>
    <w:rsid w:val="003409B0"/>
    <w:rsid w:val="0035727B"/>
    <w:rsid w:val="0036302E"/>
    <w:rsid w:val="0038322F"/>
    <w:rsid w:val="003951CF"/>
    <w:rsid w:val="003A2EB9"/>
    <w:rsid w:val="003B4799"/>
    <w:rsid w:val="003C56CB"/>
    <w:rsid w:val="003C5B86"/>
    <w:rsid w:val="003D7948"/>
    <w:rsid w:val="003E4A3F"/>
    <w:rsid w:val="004128EA"/>
    <w:rsid w:val="00420539"/>
    <w:rsid w:val="00437BE8"/>
    <w:rsid w:val="00447BFD"/>
    <w:rsid w:val="00454FE3"/>
    <w:rsid w:val="004647AD"/>
    <w:rsid w:val="00472D72"/>
    <w:rsid w:val="00477060"/>
    <w:rsid w:val="0049241E"/>
    <w:rsid w:val="004A502B"/>
    <w:rsid w:val="004A7362"/>
    <w:rsid w:val="004B1985"/>
    <w:rsid w:val="004B623A"/>
    <w:rsid w:val="004C565A"/>
    <w:rsid w:val="004C5B72"/>
    <w:rsid w:val="004D31C6"/>
    <w:rsid w:val="004E55A5"/>
    <w:rsid w:val="004F0E24"/>
    <w:rsid w:val="004F696D"/>
    <w:rsid w:val="0051027D"/>
    <w:rsid w:val="00566373"/>
    <w:rsid w:val="00584F04"/>
    <w:rsid w:val="00585618"/>
    <w:rsid w:val="005859DC"/>
    <w:rsid w:val="005A0EDF"/>
    <w:rsid w:val="005A7E64"/>
    <w:rsid w:val="005B439F"/>
    <w:rsid w:val="005C2FDD"/>
    <w:rsid w:val="005E0407"/>
    <w:rsid w:val="005F6B4D"/>
    <w:rsid w:val="006018AF"/>
    <w:rsid w:val="006021DD"/>
    <w:rsid w:val="00612386"/>
    <w:rsid w:val="006133EA"/>
    <w:rsid w:val="006328F4"/>
    <w:rsid w:val="00644A8E"/>
    <w:rsid w:val="00665368"/>
    <w:rsid w:val="00670782"/>
    <w:rsid w:val="006715BC"/>
    <w:rsid w:val="006811B2"/>
    <w:rsid w:val="00693820"/>
    <w:rsid w:val="006A03BA"/>
    <w:rsid w:val="006B2976"/>
    <w:rsid w:val="006B7335"/>
    <w:rsid w:val="006C47DC"/>
    <w:rsid w:val="006D00A8"/>
    <w:rsid w:val="00751A19"/>
    <w:rsid w:val="00755748"/>
    <w:rsid w:val="00771A84"/>
    <w:rsid w:val="007A741D"/>
    <w:rsid w:val="007B3A02"/>
    <w:rsid w:val="007C624A"/>
    <w:rsid w:val="007C68CE"/>
    <w:rsid w:val="007D459C"/>
    <w:rsid w:val="007F7BA1"/>
    <w:rsid w:val="00805F1A"/>
    <w:rsid w:val="0080602C"/>
    <w:rsid w:val="008416E3"/>
    <w:rsid w:val="0084716B"/>
    <w:rsid w:val="00860865"/>
    <w:rsid w:val="008B0D5F"/>
    <w:rsid w:val="008F2CD2"/>
    <w:rsid w:val="008F4BD3"/>
    <w:rsid w:val="00910CD1"/>
    <w:rsid w:val="00931506"/>
    <w:rsid w:val="00950FD7"/>
    <w:rsid w:val="009779A4"/>
    <w:rsid w:val="0099216E"/>
    <w:rsid w:val="009B6364"/>
    <w:rsid w:val="009D2EFE"/>
    <w:rsid w:val="009E0899"/>
    <w:rsid w:val="009F11E1"/>
    <w:rsid w:val="00A05980"/>
    <w:rsid w:val="00A252BF"/>
    <w:rsid w:val="00A362DD"/>
    <w:rsid w:val="00A42A55"/>
    <w:rsid w:val="00A44BF9"/>
    <w:rsid w:val="00A45BE8"/>
    <w:rsid w:val="00A5533D"/>
    <w:rsid w:val="00A635D4"/>
    <w:rsid w:val="00A64CDD"/>
    <w:rsid w:val="00A93C02"/>
    <w:rsid w:val="00AB0A61"/>
    <w:rsid w:val="00AC75E0"/>
    <w:rsid w:val="00AD3786"/>
    <w:rsid w:val="00AD6411"/>
    <w:rsid w:val="00AE2C2A"/>
    <w:rsid w:val="00B16382"/>
    <w:rsid w:val="00B2147F"/>
    <w:rsid w:val="00B319F6"/>
    <w:rsid w:val="00B6722E"/>
    <w:rsid w:val="00B80572"/>
    <w:rsid w:val="00B943FE"/>
    <w:rsid w:val="00B946BB"/>
    <w:rsid w:val="00BA1AEF"/>
    <w:rsid w:val="00BA61BB"/>
    <w:rsid w:val="00BA7681"/>
    <w:rsid w:val="00BB33F2"/>
    <w:rsid w:val="00BC2816"/>
    <w:rsid w:val="00BC7874"/>
    <w:rsid w:val="00BF2820"/>
    <w:rsid w:val="00C32525"/>
    <w:rsid w:val="00C53570"/>
    <w:rsid w:val="00C53BF3"/>
    <w:rsid w:val="00C71F98"/>
    <w:rsid w:val="00C77217"/>
    <w:rsid w:val="00CA75B2"/>
    <w:rsid w:val="00CB428B"/>
    <w:rsid w:val="00CB43EE"/>
    <w:rsid w:val="00CC4D84"/>
    <w:rsid w:val="00CC51D1"/>
    <w:rsid w:val="00D236AE"/>
    <w:rsid w:val="00D2642B"/>
    <w:rsid w:val="00D55405"/>
    <w:rsid w:val="00D64F80"/>
    <w:rsid w:val="00D836E5"/>
    <w:rsid w:val="00D9671A"/>
    <w:rsid w:val="00DA018C"/>
    <w:rsid w:val="00DA2843"/>
    <w:rsid w:val="00DA4732"/>
    <w:rsid w:val="00DB0F79"/>
    <w:rsid w:val="00E06FFE"/>
    <w:rsid w:val="00E2630C"/>
    <w:rsid w:val="00E3687E"/>
    <w:rsid w:val="00E92FD5"/>
    <w:rsid w:val="00EA18FF"/>
    <w:rsid w:val="00EC1A3D"/>
    <w:rsid w:val="00EC6AB7"/>
    <w:rsid w:val="00ED0A3F"/>
    <w:rsid w:val="00EF2C9E"/>
    <w:rsid w:val="00F07D23"/>
    <w:rsid w:val="00F147FC"/>
    <w:rsid w:val="00F14FD0"/>
    <w:rsid w:val="00F81992"/>
    <w:rsid w:val="00F86F96"/>
    <w:rsid w:val="00F91FD1"/>
    <w:rsid w:val="00F96B17"/>
    <w:rsid w:val="00FA3D6D"/>
    <w:rsid w:val="00FB6FA9"/>
    <w:rsid w:val="00FC3A72"/>
    <w:rsid w:val="00FF1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71B2"/>
  <w15:chartTrackingRefBased/>
  <w15:docId w15:val="{CE24F646-5B0C-43A3-B72B-89C67157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85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85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852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852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852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852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852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852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8520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520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8520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8520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8520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8520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8520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8520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8520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8520C"/>
    <w:rPr>
      <w:rFonts w:eastAsiaTheme="majorEastAsia" w:cstheme="majorBidi"/>
      <w:color w:val="272727" w:themeColor="text1" w:themeTint="D8"/>
    </w:rPr>
  </w:style>
  <w:style w:type="paragraph" w:styleId="Ttulo">
    <w:name w:val="Title"/>
    <w:basedOn w:val="Normal"/>
    <w:next w:val="Normal"/>
    <w:link w:val="TtuloChar"/>
    <w:uiPriority w:val="10"/>
    <w:qFormat/>
    <w:rsid w:val="00185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852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8520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8520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8520C"/>
    <w:pPr>
      <w:spacing w:before="160"/>
      <w:jc w:val="center"/>
    </w:pPr>
    <w:rPr>
      <w:i/>
      <w:iCs/>
      <w:color w:val="404040" w:themeColor="text1" w:themeTint="BF"/>
    </w:rPr>
  </w:style>
  <w:style w:type="character" w:customStyle="1" w:styleId="CitaoChar">
    <w:name w:val="Citação Char"/>
    <w:basedOn w:val="Fontepargpadro"/>
    <w:link w:val="Citao"/>
    <w:uiPriority w:val="29"/>
    <w:rsid w:val="0018520C"/>
    <w:rPr>
      <w:i/>
      <w:iCs/>
      <w:color w:val="404040" w:themeColor="text1" w:themeTint="BF"/>
    </w:rPr>
  </w:style>
  <w:style w:type="paragraph" w:styleId="PargrafodaLista">
    <w:name w:val="List Paragraph"/>
    <w:basedOn w:val="Normal"/>
    <w:uiPriority w:val="34"/>
    <w:qFormat/>
    <w:rsid w:val="0018520C"/>
    <w:pPr>
      <w:ind w:left="720"/>
      <w:contextualSpacing/>
    </w:pPr>
  </w:style>
  <w:style w:type="character" w:styleId="nfaseIntensa">
    <w:name w:val="Intense Emphasis"/>
    <w:basedOn w:val="Fontepargpadro"/>
    <w:uiPriority w:val="21"/>
    <w:qFormat/>
    <w:rsid w:val="0018520C"/>
    <w:rPr>
      <w:i/>
      <w:iCs/>
      <w:color w:val="0F4761" w:themeColor="accent1" w:themeShade="BF"/>
    </w:rPr>
  </w:style>
  <w:style w:type="paragraph" w:styleId="CitaoIntensa">
    <w:name w:val="Intense Quote"/>
    <w:basedOn w:val="Normal"/>
    <w:next w:val="Normal"/>
    <w:link w:val="CitaoIntensaChar"/>
    <w:uiPriority w:val="30"/>
    <w:qFormat/>
    <w:rsid w:val="00185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8520C"/>
    <w:rPr>
      <w:i/>
      <w:iCs/>
      <w:color w:val="0F4761" w:themeColor="accent1" w:themeShade="BF"/>
    </w:rPr>
  </w:style>
  <w:style w:type="character" w:styleId="RefernciaIntensa">
    <w:name w:val="Intense Reference"/>
    <w:basedOn w:val="Fontepargpadro"/>
    <w:uiPriority w:val="32"/>
    <w:qFormat/>
    <w:rsid w:val="001852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5600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Costa Jorge</dc:creator>
  <cp:keywords/>
  <dc:description/>
  <cp:lastModifiedBy>José Costa Jorge</cp:lastModifiedBy>
  <cp:revision>2</cp:revision>
  <dcterms:created xsi:type="dcterms:W3CDTF">2026-01-14T12:03:00Z</dcterms:created>
  <dcterms:modified xsi:type="dcterms:W3CDTF">2026-01-14T12:03:00Z</dcterms:modified>
</cp:coreProperties>
</file>